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5E" w:rsidRPr="00E36E67" w:rsidRDefault="00C94E5E" w:rsidP="005367A6">
      <w:pPr>
        <w:pStyle w:val="prevencenadpis1"/>
        <w:jc w:val="left"/>
        <w:rPr>
          <w:color w:val="000000" w:themeColor="text1"/>
        </w:rPr>
      </w:pPr>
      <w:r w:rsidRPr="00E36E67">
        <w:rPr>
          <w:color w:val="000000" w:themeColor="text1"/>
        </w:rPr>
        <w:t>Příloha č. 2</w:t>
      </w:r>
      <w:bookmarkStart w:id="0" w:name="_GoBack"/>
      <w:bookmarkEnd w:id="0"/>
    </w:p>
    <w:p w:rsidR="00E231D0" w:rsidRPr="00E36E67" w:rsidRDefault="00E231D0" w:rsidP="005367A6">
      <w:pPr>
        <w:pStyle w:val="prevencenadpis1"/>
        <w:rPr>
          <w:color w:val="0070C0"/>
        </w:rPr>
      </w:pPr>
      <w:r w:rsidRPr="00E36E67">
        <w:rPr>
          <w:color w:val="0070C0"/>
        </w:rPr>
        <w:t xml:space="preserve">Program – hazardní hráčství </w:t>
      </w:r>
    </w:p>
    <w:p w:rsidR="00E231D0" w:rsidRPr="00E36E67" w:rsidRDefault="00E231D0" w:rsidP="005367A6">
      <w:pPr>
        <w:pStyle w:val="prevencenadpis1"/>
        <w:rPr>
          <w:color w:val="0070C0"/>
        </w:rPr>
      </w:pPr>
      <w:r w:rsidRPr="00E36E67">
        <w:rPr>
          <w:color w:val="0070C0"/>
        </w:rPr>
        <w:t>Tento Program je součástí Minimálního preventivního programu ZŠ a MŠ Prostějov</w:t>
      </w:r>
    </w:p>
    <w:p w:rsidR="00E231D0" w:rsidRPr="00E36E67" w:rsidRDefault="00245464" w:rsidP="005367A6">
      <w:pPr>
        <w:pStyle w:val="prevencenadpis1"/>
        <w:rPr>
          <w:color w:val="0070C0"/>
        </w:rPr>
      </w:pPr>
      <w:r>
        <w:rPr>
          <w:color w:val="0070C0"/>
        </w:rPr>
        <w:t>pro školní rok 202</w:t>
      </w:r>
      <w:r w:rsidR="0026524E">
        <w:rPr>
          <w:color w:val="0070C0"/>
        </w:rPr>
        <w:t>4</w:t>
      </w:r>
      <w:r>
        <w:rPr>
          <w:color w:val="0070C0"/>
        </w:rPr>
        <w:t>/202</w:t>
      </w:r>
      <w:r w:rsidR="0026524E">
        <w:rPr>
          <w:color w:val="0070C0"/>
        </w:rPr>
        <w:t>5</w:t>
      </w:r>
    </w:p>
    <w:p w:rsidR="00E231D0" w:rsidRDefault="00E231D0" w:rsidP="005367A6">
      <w:pPr>
        <w:pStyle w:val="prevencenadpis1"/>
        <w:rPr>
          <w:color w:val="FF0000"/>
        </w:rPr>
      </w:pPr>
      <w:r w:rsidRPr="00E36E67">
        <w:rPr>
          <w:color w:val="FF0000"/>
        </w:rPr>
        <w:t xml:space="preserve">Krizový plán pro řešení </w:t>
      </w:r>
      <w:r w:rsidR="00C94E5E" w:rsidRPr="00E36E67">
        <w:rPr>
          <w:color w:val="FF0000"/>
        </w:rPr>
        <w:t>hazardního hráčství</w:t>
      </w:r>
    </w:p>
    <w:p w:rsidR="00BB367C" w:rsidRPr="00BB367C" w:rsidRDefault="00BB367C" w:rsidP="005367A6">
      <w:pPr>
        <w:pStyle w:val="prevencenadpis1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schválen</w:t>
      </w:r>
      <w:r w:rsidR="00B222A5">
        <w:rPr>
          <w:color w:val="00B050"/>
          <w:sz w:val="24"/>
          <w:szCs w:val="24"/>
        </w:rPr>
        <w:t xml:space="preserve"> pedagogickou radou dne </w:t>
      </w:r>
      <w:r w:rsidR="0026524E">
        <w:rPr>
          <w:color w:val="00B050"/>
          <w:sz w:val="24"/>
          <w:szCs w:val="24"/>
        </w:rPr>
        <w:t>30. 8. 2024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b/>
          <w:color w:val="FF0000"/>
          <w:sz w:val="32"/>
          <w:szCs w:val="32"/>
        </w:rPr>
      </w:pP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b/>
          <w:color w:val="FF0000"/>
          <w:szCs w:val="24"/>
        </w:rPr>
      </w:pPr>
      <w:r w:rsidRPr="00E36E67">
        <w:rPr>
          <w:b/>
          <w:color w:val="FF0000"/>
          <w:szCs w:val="24"/>
        </w:rPr>
        <w:t>Rizikové situace spojené s hazardním hraním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szCs w:val="24"/>
        </w:rPr>
      </w:pPr>
      <w:r w:rsidRPr="00E36E67">
        <w:rPr>
          <w:b/>
          <w:color w:val="FF0000"/>
          <w:szCs w:val="24"/>
        </w:rPr>
        <w:tab/>
      </w:r>
      <w:r w:rsidRPr="00E36E67">
        <w:rPr>
          <w:szCs w:val="24"/>
        </w:rPr>
        <w:t xml:space="preserve">Jako </w:t>
      </w:r>
      <w:r w:rsidRPr="00E36E67">
        <w:rPr>
          <w:b/>
          <w:szCs w:val="24"/>
        </w:rPr>
        <w:t>hazardní hraní</w:t>
      </w:r>
      <w:r w:rsidRPr="00E36E67">
        <w:rPr>
          <w:szCs w:val="24"/>
        </w:rPr>
        <w:t xml:space="preserve"> či </w:t>
      </w:r>
      <w:r w:rsidRPr="00E36E67">
        <w:rPr>
          <w:b/>
          <w:szCs w:val="24"/>
        </w:rPr>
        <w:t>hráčství</w:t>
      </w:r>
      <w:r w:rsidRPr="00E36E67">
        <w:rPr>
          <w:szCs w:val="24"/>
        </w:rPr>
        <w:t xml:space="preserve"> lze označit jakékoliv jednání, které vyžaduje nevratné investice (peníze nebo jinou hodnotu) s vidinou zisku založeného na náhodě nebo nejistém výsledku. Patří sem: peněžité nebo věcné loterie (losy), tomboly, číselné loterie a okamžité loterie, bingo, kurzové, dostihové a jiné sportovní sázky, sázkové hry v kasinu (ruleta, blackjack apod.), výherní hrací přístroje, sázkové hry provozované prostřednictvím centrálního a lokálního loterijního systému, karetní hry a sázkové hry na internetu.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szCs w:val="24"/>
        </w:rPr>
      </w:pPr>
      <w:r w:rsidRPr="00E36E67">
        <w:rPr>
          <w:szCs w:val="24"/>
        </w:rPr>
        <w:tab/>
        <w:t xml:space="preserve">Poměrně novým a častým jevem u mladých lidí je </w:t>
      </w:r>
      <w:r w:rsidRPr="00E36E67">
        <w:rPr>
          <w:b/>
          <w:szCs w:val="24"/>
        </w:rPr>
        <w:t>on-line hazardní hra</w:t>
      </w:r>
      <w:r w:rsidRPr="00E36E67">
        <w:rPr>
          <w:szCs w:val="24"/>
        </w:rPr>
        <w:t xml:space="preserve">. Jedná se o službu spojenou s peněžitým vkladem do hazardní hry, loterie nebo sázky, která je poskytována na dálku, elektronickou cestou a na individuální žádost příjemce služeb. </w:t>
      </w: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00B050"/>
          <w:sz w:val="24"/>
          <w:szCs w:val="24"/>
        </w:rPr>
        <w:t>Hazardní hraní můžeme dále dělit na:</w:t>
      </w:r>
    </w:p>
    <w:p w:rsidR="00E231D0" w:rsidRPr="00E36E67" w:rsidRDefault="00E231D0" w:rsidP="005367A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Drobné neorganizované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jde o všechny formy hry o peníze, jiné statky či protislužby, které probíhají po domluvě mezi jednotlivci či v partě a řídí se specifickými domluvenými pravidly. Ve školním prostředí jde nejčastěji o karetní hry </w:t>
      </w:r>
      <w:r w:rsidRPr="00E36E67">
        <w:rPr>
          <w:rFonts w:ascii="Times New Roman" w:hAnsi="Times New Roman" w:cs="Times New Roman"/>
          <w:sz w:val="24"/>
          <w:szCs w:val="24"/>
        </w:rPr>
        <w:lastRenderedPageBreak/>
        <w:t xml:space="preserve">jako je mariáš, poker či oko, dále pak o kostkové hry nebo o částečně dovednostní hru čára. Žáci se dále například mohou i sázet, zda nastane či nenastane nějaká událost. </w:t>
      </w:r>
    </w:p>
    <w:p w:rsidR="00E231D0" w:rsidRPr="00E36E67" w:rsidRDefault="00E231D0" w:rsidP="005367A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Legálně organizované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jde o státem a zákony regulované podnikání, které samo sebe často označuje jako zábavní průmysl. Nejčastěji se jedná o menší kamenné provozovny zvané herny s automaty a video-loterijními terminály (VLT), dále o větší kamenná kasina vybavená navíc i ruletami a karetními stoly nebo o virtuální kasina, tj. speciální webové stránky. </w:t>
      </w:r>
    </w:p>
    <w:p w:rsidR="00E231D0" w:rsidRPr="00E36E67" w:rsidRDefault="00E231D0" w:rsidP="005367A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Nelegálně organizované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jde o nejnebezpečnější formu hazardu organizovanou nelegálně. Nejsou odváděny žádné daně a zadlužený hráč je často dále vydírán a zapojován do nelegální činnosti. </w:t>
      </w: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Fáze vývoje závislosti: </w:t>
      </w:r>
    </w:p>
    <w:p w:rsidR="00E231D0" w:rsidRPr="00E36E67" w:rsidRDefault="00E231D0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fáze výher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hráč je vtažen do hry a vyhrává. Je příznačná silná euforie. Chce stále více vyhrávat. Zvyšuje částky a roste mu sebevědomí.</w:t>
      </w:r>
    </w:p>
    <w:p w:rsidR="00E231D0" w:rsidRPr="00E36E67" w:rsidRDefault="00E231D0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fáze proher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Hráč začíná častěji prohrávat, a protože chce peníze získat zpět, sází čím dál častěji. Když už nemá ze svého co sázet, začne si brát z cizích prostředků (okrádá rodinu, zadlužuje se u přátel). </w:t>
      </w:r>
    </w:p>
    <w:p w:rsidR="00E36E67" w:rsidRDefault="00E231D0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fáze zoufalství</w:t>
      </w:r>
      <w:r w:rsidRPr="00E36E67">
        <w:rPr>
          <w:rFonts w:ascii="Times New Roman" w:hAnsi="Times New Roman" w:cs="Times New Roman"/>
          <w:sz w:val="24"/>
          <w:szCs w:val="24"/>
        </w:rPr>
        <w:t xml:space="preserve"> – Gambler ztrácí kontrolu nad sebou samým. Při získávání finančních prostředků si může počínat i nezákonně. Gambler trpí častými depresemi nebo myšlenkami na sebevraždu. </w:t>
      </w:r>
    </w:p>
    <w:p w:rsidR="00E36E67" w:rsidRDefault="00E36E67" w:rsidP="005367A6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E67" w:rsidRPr="00E36E67" w:rsidRDefault="00E36E67" w:rsidP="005367A6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eastAsia="Times New Roman" w:hAnsi="Times New Roman" w:cs="Times New Roman"/>
          <w:b/>
          <w:color w:val="00B050"/>
        </w:rPr>
        <w:t>Typologie hráčů:</w:t>
      </w:r>
    </w:p>
    <w:p w:rsidR="00E36E67" w:rsidRPr="00E36E67" w:rsidRDefault="00E36E67" w:rsidP="005367A6">
      <w:pPr>
        <w:spacing w:line="360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E36E67">
        <w:rPr>
          <w:rFonts w:ascii="Times New Roman" w:eastAsia="Calibri" w:hAnsi="Times New Roman" w:cs="Times New Roman"/>
          <w:bCs/>
        </w:rPr>
        <w:t xml:space="preserve">Tato typologie představuje pouze možné ilustrativní typy hráčů či motivací ke hře. Každý individuální případ může být kombinací různých typů s různou intenzitou problému. Ke každému jedinci je nutné přistupovat s ohledem na jeho jedinečnost. </w:t>
      </w:r>
    </w:p>
    <w:p w:rsidR="00E36E67" w:rsidRPr="00E36E67" w:rsidRDefault="00E36E67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367A6">
        <w:rPr>
          <w:rFonts w:ascii="Times New Roman" w:eastAsia="Times New Roman" w:hAnsi="Times New Roman" w:cs="Times New Roman"/>
          <w:b/>
          <w:bCs/>
          <w:color w:val="0070C0"/>
        </w:rPr>
        <w:t>Typ A</w:t>
      </w:r>
      <w:r w:rsidRPr="00E36E67">
        <w:rPr>
          <w:rFonts w:ascii="Times New Roman" w:eastAsia="Times New Roman" w:hAnsi="Times New Roman" w:cs="Times New Roman"/>
          <w:bCs/>
        </w:rPr>
        <w:t xml:space="preserve"> – je charakterizován výraznou snahou zopakovat si hazardní jednání, znovuprožití hráčské zkušenosti s rostoucí potřebou finančního vkladu do hry a stupňování prožitků a nezastaví se ani před nezákonnými činy, jak získat další finance na hru. Jedná se o sociálně narušeného jedince s osobnostními rysy nezdrženlivosti a sociální nepřizpůsobivosti.</w:t>
      </w:r>
    </w:p>
    <w:p w:rsidR="00E36E67" w:rsidRPr="00E36E67" w:rsidRDefault="00E36E67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367A6">
        <w:rPr>
          <w:rFonts w:ascii="Times New Roman" w:eastAsia="Times New Roman" w:hAnsi="Times New Roman" w:cs="Times New Roman"/>
          <w:b/>
          <w:bCs/>
          <w:color w:val="0070C0"/>
        </w:rPr>
        <w:lastRenderedPageBreak/>
        <w:t>Typ B</w:t>
      </w:r>
      <w:r w:rsidRPr="00E36E67">
        <w:rPr>
          <w:rFonts w:ascii="Times New Roman" w:eastAsia="Times New Roman" w:hAnsi="Times New Roman" w:cs="Times New Roman"/>
          <w:bCs/>
        </w:rPr>
        <w:t xml:space="preserve"> – má nejvýraznější vyjádřenou potřebu útěku od reality ke hře, hledá náhražku své úzkosti, pocitu viny a nedostatečnosti ve vztahu k okolí. Nedokáže se k problému přiznat, lže a snaží se problém zakrýt. Předpokládá pomoc a převzetí odpovědnosti za své prohry svými blízkými. Tento typ tíhne k neurotickému řešení problémů, je u něj patrná zvýšená úzkostnost a nejistota v sebehodnocení.</w:t>
      </w:r>
    </w:p>
    <w:p w:rsidR="00E36E67" w:rsidRPr="00E36E67" w:rsidRDefault="00E36E67" w:rsidP="005367A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367A6">
        <w:rPr>
          <w:rFonts w:ascii="Times New Roman" w:eastAsia="Times New Roman" w:hAnsi="Times New Roman" w:cs="Times New Roman"/>
          <w:b/>
          <w:bCs/>
          <w:color w:val="0070C0"/>
        </w:rPr>
        <w:t>Typ C</w:t>
      </w:r>
      <w:r w:rsidRPr="00E36E67">
        <w:rPr>
          <w:rFonts w:ascii="Times New Roman" w:eastAsia="Times New Roman" w:hAnsi="Times New Roman" w:cs="Times New Roman"/>
          <w:bCs/>
        </w:rPr>
        <w:t xml:space="preserve"> – má nejvíce vyjádřenou neschopnost kontrolovat hru, projevuje se podrážděností při myšlence či snaze o ukončení hraní, považuje hru za svou potřebu, které se nemůže zbavit a nepřipouští si výrazný sociální dopad, izolaci a ztrátu společenského postavení. Jedná se o typ s výraznou závislostní dispozicí a nutkavostí v řešení situací</w:t>
      </w:r>
      <w:r>
        <w:rPr>
          <w:rFonts w:ascii="Times New Roman" w:hAnsi="Times New Roman" w:cs="Times New Roman"/>
          <w:bCs/>
        </w:rPr>
        <w:t xml:space="preserve">. </w:t>
      </w:r>
    </w:p>
    <w:p w:rsidR="00E36E67" w:rsidRPr="00E36E67" w:rsidRDefault="00E36E67" w:rsidP="005367A6">
      <w:pPr>
        <w:spacing w:line="360" w:lineRule="auto"/>
        <w:ind w:left="360"/>
        <w:jc w:val="both"/>
        <w:rPr>
          <w:rFonts w:ascii="Times New Roman" w:eastAsia="Calibri" w:hAnsi="Times New Roman" w:cs="Times New Roman"/>
          <w:bCs/>
        </w:rPr>
      </w:pPr>
    </w:p>
    <w:p w:rsidR="00E36E67" w:rsidRDefault="00E36E67" w:rsidP="005367A6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36E67">
        <w:rPr>
          <w:rFonts w:ascii="Times New Roman" w:eastAsia="Calibri" w:hAnsi="Times New Roman" w:cs="Times New Roman"/>
          <w:b/>
        </w:rPr>
        <w:t>Přestože existují určité typologie, závislost na hazardním hraní může v určitém kontextu ohrozit každého (bez ohledu na pohlaví, věk, vzdělání či socioekonomický status). Každý může mít svůj jedinečný příběh a specifické příčiny, které ho ke hraní přivedly.</w:t>
      </w:r>
    </w:p>
    <w:p w:rsidR="00E36E67" w:rsidRDefault="00E36E67" w:rsidP="005367A6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B0F0"/>
        </w:rPr>
      </w:pPr>
    </w:p>
    <w:p w:rsidR="00E36E67" w:rsidRPr="005367A6" w:rsidRDefault="00E36E67" w:rsidP="005367A6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70C0"/>
        </w:rPr>
      </w:pPr>
      <w:r w:rsidRPr="005367A6">
        <w:rPr>
          <w:rFonts w:ascii="Times New Roman" w:hAnsi="Times New Roman" w:cs="Times New Roman"/>
          <w:b/>
          <w:color w:val="0070C0"/>
        </w:rPr>
        <w:t>Prevence</w:t>
      </w:r>
    </w:p>
    <w:p w:rsidR="005367A6" w:rsidRDefault="00E36E67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36E67">
        <w:rPr>
          <w:rFonts w:ascii="Times New Roman" w:eastAsia="Calibri" w:hAnsi="Times New Roman" w:cs="Times New Roman"/>
          <w:sz w:val="24"/>
          <w:szCs w:val="24"/>
        </w:rPr>
        <w:t xml:space="preserve">Základem prevence hazardního hraní je na tento problém zaměřený preventivní program, tj. aktivity </w:t>
      </w:r>
      <w:r w:rsidRPr="00E36E67">
        <w:rPr>
          <w:rFonts w:ascii="Times New Roman" w:eastAsia="Calibri" w:hAnsi="Times New Roman" w:cs="Times New Roman"/>
          <w:b/>
          <w:sz w:val="24"/>
          <w:szCs w:val="24"/>
        </w:rPr>
        <w:t xml:space="preserve">specifické všeobecné primární prevence. </w:t>
      </w:r>
      <w:r w:rsidRPr="00E36E67">
        <w:rPr>
          <w:rFonts w:ascii="Times New Roman" w:eastAsia="Calibri" w:hAnsi="Times New Roman" w:cs="Times New Roman"/>
          <w:sz w:val="24"/>
          <w:szCs w:val="24"/>
        </w:rPr>
        <w:t>Takový program by se měl interaktivní a zážitkovou formou věnovat zejména těmto a podobným tématům:</w:t>
      </w:r>
    </w:p>
    <w:p w:rsidR="00E36E67" w:rsidRPr="005367A6" w:rsidRDefault="00E36E67" w:rsidP="005367A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Zvýšení informovanosti žáků o povaze a rizicích hazardního hraní, včetně korekce chybných informací a mylných přesvědčení o hazardní hře. Odhalování matematických a statistických principů sázek. (Mezi nejčastější omyly hráčů patří iluze o rychlém zbohatnutí, o zajímavosti hry, o navrácení prohraných peněz a o tom, že hrou se dá uniknout před neřešenými osobními, rodinnými, citovými nebo pracovními problémy).</w:t>
      </w:r>
    </w:p>
    <w:p w:rsidR="00E36E67" w:rsidRPr="00E36E67" w:rsidRDefault="00E36E67" w:rsidP="005367A6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E67">
        <w:rPr>
          <w:rFonts w:ascii="Times New Roman" w:eastAsia="Times New Roman" w:hAnsi="Times New Roman" w:cs="Times New Roman"/>
          <w:sz w:val="24"/>
          <w:szCs w:val="24"/>
        </w:rPr>
        <w:t xml:space="preserve">Změnu postoje k hazardním hrám ve směru odklonu od těchto aktivit, což snižuje riziko závislosti v dospělosti. </w:t>
      </w:r>
    </w:p>
    <w:p w:rsidR="00E36E67" w:rsidRPr="00E36E67" w:rsidRDefault="00E36E67" w:rsidP="005367A6">
      <w:pPr>
        <w:pStyle w:val="Odstavecseseznamem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E67">
        <w:rPr>
          <w:rFonts w:ascii="Times New Roman" w:eastAsia="Times New Roman" w:hAnsi="Times New Roman" w:cs="Times New Roman"/>
          <w:sz w:val="24"/>
          <w:szCs w:val="24"/>
        </w:rPr>
        <w:t xml:space="preserve">Budování finanční gramotnosti žáků, která obnáší i problematiku </w:t>
      </w:r>
      <w:r w:rsidRPr="00E36E67">
        <w:rPr>
          <w:rFonts w:ascii="Times New Roman" w:eastAsia="Times New Roman" w:hAnsi="Times New Roman" w:cs="Times New Roman"/>
          <w:color w:val="000000"/>
          <w:sz w:val="24"/>
          <w:szCs w:val="24"/>
        </w:rPr>
        <w:t>dluhových</w:t>
      </w:r>
      <w:r w:rsidRPr="00E36E67">
        <w:rPr>
          <w:rFonts w:ascii="Times New Roman" w:eastAsia="Times New Roman" w:hAnsi="Times New Roman" w:cs="Times New Roman"/>
          <w:sz w:val="24"/>
          <w:szCs w:val="24"/>
        </w:rPr>
        <w:t xml:space="preserve"> pastí, hospodaření s domácím rozpočtem či bezpečností při vedení účtů. </w:t>
      </w:r>
    </w:p>
    <w:p w:rsidR="00E36E67" w:rsidRPr="00E36E67" w:rsidRDefault="00E36E67" w:rsidP="005367A6">
      <w:pPr>
        <w:pStyle w:val="Odstavecseseznamem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E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Kontrola nad impulzivním řešením problémů a podpora schopností řešení problémů, </w:t>
      </w:r>
      <w:r w:rsidRPr="00E36E67">
        <w:rPr>
          <w:rFonts w:ascii="Times New Roman" w:eastAsia="Times New Roman" w:hAnsi="Times New Roman" w:cs="Times New Roman"/>
          <w:color w:val="000000"/>
          <w:sz w:val="24"/>
          <w:szCs w:val="24"/>
        </w:rPr>
        <w:t>plánování a efektivního rozhodování.</w:t>
      </w:r>
    </w:p>
    <w:p w:rsidR="005367A6" w:rsidRDefault="00E36E67" w:rsidP="005367A6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color w:val="000000"/>
          <w:sz w:val="24"/>
          <w:szCs w:val="24"/>
        </w:rPr>
        <w:t>Propojování tématu hazardního hraní i s tématy jiných závislostí, zejména pak s internetovou závislostí a užíváním návykových látek.</w:t>
      </w:r>
    </w:p>
    <w:p w:rsidR="00E36E67" w:rsidRPr="005367A6" w:rsidRDefault="00E36E67" w:rsidP="005367A6">
      <w:pPr>
        <w:pStyle w:val="Odstavecseseznamem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Informovanost žáků o tom, na koho se v případě problémů s hazardní hrou mohou obrátit o pomoc (kromě pedagogů jde i o specializované poradny, linky důvěry či například pracovníky nízkoprahových klubů pro děti mládež).</w:t>
      </w:r>
    </w:p>
    <w:p w:rsidR="00E36E67" w:rsidRPr="00E36E67" w:rsidRDefault="00E36E67" w:rsidP="005367A6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b/>
          <w:color w:val="0070C0"/>
          <w:szCs w:val="24"/>
        </w:rPr>
      </w:pPr>
      <w:r w:rsidRPr="00E36E67">
        <w:rPr>
          <w:b/>
          <w:color w:val="0070C0"/>
          <w:szCs w:val="24"/>
        </w:rPr>
        <w:t>Metodika řešení problému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 xml:space="preserve">Identifikovat problém, citlivě na něho reagovat. Nebagatelizovat ho. 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 xml:space="preserve">Zmapovat situaci ve třídě - prevalence, názory, informace o problematice. 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 xml:space="preserve">Tvorba nástěnky nebo předání informací o rizicích, hráčských bludech, kontaktech na odbornou pomoc. 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t>Adekvátnost programu a intervencí ve vztahu k věku, potřebám a mentálním schopnostem dítěte.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>Zaměření na změnu postojů a chování.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>Živé interaktivní učení, podpora zájmu a zvědavosti vhodnými zábavnými metodami.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E67">
        <w:rPr>
          <w:rFonts w:ascii="Times New Roman" w:hAnsi="Times New Roman" w:cs="Times New Roman"/>
          <w:bCs/>
          <w:sz w:val="24"/>
          <w:szCs w:val="24"/>
        </w:rPr>
        <w:t>Otevřená hodnotově orientovaná diskuse.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E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Realizaci programů navrhují a řídí kvalifikovaní interdisciplinárně orientovaní odborníci.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E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Zaměření se na témata, jako je způsob trávení volného času žáků a hospodaření s financemi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 mnoha ohledech je úspěšný preventivní přístup k hazardnímu hraní podobný přístupu k návykovým látkám. </w:t>
      </w:r>
    </w:p>
    <w:p w:rsidR="00E231D0" w:rsidRPr="00E36E67" w:rsidRDefault="00E231D0" w:rsidP="005367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t xml:space="preserve">Pedagog může dále do preventivních aktivit </w:t>
      </w:r>
      <w:r w:rsidRPr="00E36E67">
        <w:rPr>
          <w:rFonts w:ascii="Times New Roman" w:hAnsi="Times New Roman" w:cs="Times New Roman"/>
          <w:b/>
          <w:sz w:val="24"/>
          <w:szCs w:val="24"/>
        </w:rPr>
        <w:t>zapojit i</w:t>
      </w:r>
      <w:r w:rsidRPr="00E36E67">
        <w:rPr>
          <w:rFonts w:ascii="Times New Roman" w:hAnsi="Times New Roman" w:cs="Times New Roman"/>
          <w:sz w:val="24"/>
          <w:szCs w:val="24"/>
        </w:rPr>
        <w:t xml:space="preserve"> </w:t>
      </w:r>
      <w:r w:rsidRPr="00E36E67">
        <w:rPr>
          <w:rFonts w:ascii="Times New Roman" w:hAnsi="Times New Roman" w:cs="Times New Roman"/>
          <w:b/>
          <w:sz w:val="24"/>
          <w:szCs w:val="24"/>
        </w:rPr>
        <w:t xml:space="preserve">rodiče. </w:t>
      </w: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36E67">
        <w:rPr>
          <w:rFonts w:ascii="Times New Roman" w:hAnsi="Times New Roman" w:cs="Times New Roman"/>
          <w:b/>
          <w:color w:val="00B050"/>
          <w:sz w:val="24"/>
          <w:szCs w:val="24"/>
        </w:rPr>
        <w:tab/>
        <w:t>Hazardní hra v prostorách školy: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lastRenderedPageBreak/>
        <w:t xml:space="preserve">Netoleruje se. U drobných neorganizovaných hazardních her (karty o peníze ve škole atp.) se přes zdánlivou nevinnost jedná o prvotní formy hazardu a je potřeba jim věnovat pozornost, byť nejde o vysoce rizikové aktivity.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t xml:space="preserve">je nutné účinně blokovat hazardní servery na školní internetové síti (počítačové učebny, </w:t>
      </w:r>
      <w:proofErr w:type="spellStart"/>
      <w:r w:rsidRPr="00E36E67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E36E67">
        <w:rPr>
          <w:rFonts w:ascii="Times New Roman" w:hAnsi="Times New Roman" w:cs="Times New Roman"/>
          <w:sz w:val="24"/>
          <w:szCs w:val="24"/>
        </w:rPr>
        <w:t xml:space="preserve">) </w:t>
      </w:r>
      <w:r w:rsidRPr="00E36E67">
        <w:rPr>
          <w:rFonts w:ascii="Times New Roman" w:hAnsi="Times New Roman" w:cs="Times New Roman"/>
          <w:b/>
          <w:sz w:val="24"/>
          <w:szCs w:val="24"/>
        </w:rPr>
        <w:t>- zabezpečený internet</w:t>
      </w:r>
      <w:r w:rsidRPr="00E36E67">
        <w:rPr>
          <w:rFonts w:ascii="Times New Roman" w:hAnsi="Times New Roman" w:cs="Times New Roman"/>
          <w:sz w:val="24"/>
          <w:szCs w:val="24"/>
        </w:rPr>
        <w:t xml:space="preserve"> na škole a jasná </w:t>
      </w:r>
      <w:r w:rsidRPr="00E36E67">
        <w:rPr>
          <w:rFonts w:ascii="Times New Roman" w:hAnsi="Times New Roman" w:cs="Times New Roman"/>
          <w:b/>
          <w:sz w:val="24"/>
          <w:szCs w:val="24"/>
        </w:rPr>
        <w:t xml:space="preserve">pravidla pro používání informačních technologií.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</w:pPr>
      <w:r w:rsidRPr="00E36E67"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  <w:t xml:space="preserve">V případě podezření, že se nezletilý žák věnuje hazardnímu hraní, by měl učitel (či lépe třídní učitel) v první řadě informovat rodiče žáka při osobním setkání. Podporu v této situaci mohou poskytnout pracovníci školního poradenského pracoviště (školní metodik prevence, výchovný poradce či školní psycholog).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</w:pPr>
      <w:r w:rsidRPr="00E36E67"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  <w:t xml:space="preserve">Pokud rodiče odmítají spolupracovat s pracovníkem školy, je škola oprávněna vyrozumět obecní úřad, tedy sociálního pracovníka z orgánu sociálně právní ochrany dětí (OSPOD). V případě vážného či odůvodněného podezření zákon dokonce určuje školskému zařízení za povinnost nahlásit tuto skutečnost OSPOD.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</w:pPr>
      <w:r w:rsidRPr="00E36E67"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  <w:t xml:space="preserve">V případě nutnosti návazné intervence pro žáka či třídní kolektiv je možné se obrátit na oblastního metodika prevence z pedagogicko-psychologické poradny, který může poskytnout metodickou pomoc či školu případně osobně navštívit. </w:t>
      </w:r>
    </w:p>
    <w:p w:rsidR="00E231D0" w:rsidRPr="00E36E67" w:rsidRDefault="00E231D0" w:rsidP="005367A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  <w:bdr w:val="single" w:sz="4" w:space="0" w:color="FFFFFF" w:frame="1"/>
        </w:rPr>
        <w:t>Pokud má učitel důvodné podezření, že byl v souvislosti s hazardním hraním spáchán trestný čin (krádež, podvod, ublížení na zdraví atp.), měl by o této situaci informovat ředitele školy a v koordinaci s pracovníky školního poradenského pracoviště zvolit vhodný postup vyšetření události. O tomto postupu by měl být vyhotoven písemný zápis. Škola má ze zákona povinnost se v případě spáchání trestného činu (či podezření na spáchání) obrátit na orgány činné v trestním řízení, tj. Policii ČR.</w:t>
      </w:r>
    </w:p>
    <w:p w:rsidR="00E231D0" w:rsidRPr="005367A6" w:rsidRDefault="005367A6" w:rsidP="005367A6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367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Nevhodný přístup </w:t>
      </w:r>
    </w:p>
    <w:p w:rsidR="005367A6" w:rsidRP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bCs/>
          <w:sz w:val="24"/>
          <w:szCs w:val="24"/>
        </w:rPr>
        <w:t xml:space="preserve">Bagatelizace problematiky (např. tolerovat karetní hru o peníze). </w:t>
      </w:r>
    </w:p>
    <w:p w:rsidR="005367A6" w:rsidRP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Odstrašování, triviální „Prostě řekni ne.“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Jednorázové neinteraktivní akce, multimediální akce, divadelní a jiná kulturní představení bez návaznosti.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lastRenderedPageBreak/>
        <w:t>Zaměření pouze na poznatky.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Přednášková forma.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Jednorázové aktivity.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 xml:space="preserve">Neosobnost, formalismus, využívání atrakcí (např. ex-gamblerů). </w:t>
      </w:r>
    </w:p>
    <w:p w:rsid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Potlačování diskuze, nebo naopak „bezbřehost“ diskuse.</w:t>
      </w:r>
    </w:p>
    <w:p w:rsidR="005367A6" w:rsidRPr="005367A6" w:rsidRDefault="005367A6" w:rsidP="005367A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A6">
        <w:rPr>
          <w:rFonts w:ascii="Times New Roman" w:eastAsia="Times New Roman" w:hAnsi="Times New Roman" w:cs="Times New Roman"/>
          <w:sz w:val="24"/>
          <w:szCs w:val="24"/>
        </w:rPr>
        <w:t>Amatérismus realizátorů, například výběr „spasitelů“ neškolených v primární prevenci.</w:t>
      </w:r>
    </w:p>
    <w:p w:rsidR="005367A6" w:rsidRDefault="005367A6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E7" w:rsidRDefault="00797FE7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FE7" w:rsidRPr="005367A6" w:rsidRDefault="00797FE7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AFC" w:rsidRPr="00E36E67" w:rsidRDefault="00C94E5E" w:rsidP="005367A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Rodiče jsou seznámeni s programe</w:t>
      </w:r>
      <w:r w:rsidR="00F23AFC" w:rsidRPr="00E36E67">
        <w:rPr>
          <w:rFonts w:ascii="Times New Roman" w:hAnsi="Times New Roman" w:cs="Times New Roman"/>
          <w:b/>
          <w:sz w:val="24"/>
          <w:szCs w:val="24"/>
        </w:rPr>
        <w:t>m</w:t>
      </w:r>
      <w:r w:rsidRPr="00E36E67">
        <w:rPr>
          <w:rFonts w:ascii="Times New Roman" w:hAnsi="Times New Roman" w:cs="Times New Roman"/>
          <w:b/>
          <w:sz w:val="24"/>
          <w:szCs w:val="24"/>
        </w:rPr>
        <w:t xml:space="preserve"> hazardního hrá</w:t>
      </w:r>
      <w:r w:rsidR="00F23AFC" w:rsidRPr="00E36E67">
        <w:rPr>
          <w:rFonts w:ascii="Times New Roman" w:hAnsi="Times New Roman" w:cs="Times New Roman"/>
          <w:b/>
          <w:sz w:val="24"/>
          <w:szCs w:val="24"/>
        </w:rPr>
        <w:t xml:space="preserve">čství: </w:t>
      </w:r>
    </w:p>
    <w:p w:rsidR="00F23AFC" w:rsidRPr="00E36E67" w:rsidRDefault="00F23AFC" w:rsidP="005367A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prostřednictvím programu B</w:t>
      </w:r>
      <w:r w:rsidR="00C94E5E" w:rsidRPr="00E36E67">
        <w:rPr>
          <w:rFonts w:ascii="Times New Roman" w:hAnsi="Times New Roman" w:cs="Times New Roman"/>
          <w:b/>
          <w:sz w:val="24"/>
          <w:szCs w:val="24"/>
        </w:rPr>
        <w:t xml:space="preserve">akaláři – </w:t>
      </w:r>
      <w:r w:rsidR="00245464">
        <w:rPr>
          <w:rFonts w:ascii="Times New Roman" w:hAnsi="Times New Roman" w:cs="Times New Roman"/>
          <w:b/>
          <w:sz w:val="24"/>
          <w:szCs w:val="24"/>
        </w:rPr>
        <w:t>září 202</w:t>
      </w:r>
      <w:r w:rsidR="00166D0D">
        <w:rPr>
          <w:rFonts w:ascii="Times New Roman" w:hAnsi="Times New Roman" w:cs="Times New Roman"/>
          <w:b/>
          <w:sz w:val="24"/>
          <w:szCs w:val="24"/>
        </w:rPr>
        <w:t>3</w:t>
      </w:r>
    </w:p>
    <w:p w:rsidR="00C94E5E" w:rsidRPr="00E36E67" w:rsidRDefault="00F23AFC" w:rsidP="005367A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prostředn</w:t>
      </w:r>
      <w:r w:rsidR="001E6902">
        <w:rPr>
          <w:rFonts w:ascii="Times New Roman" w:hAnsi="Times New Roman" w:cs="Times New Roman"/>
          <w:b/>
          <w:sz w:val="24"/>
          <w:szCs w:val="24"/>
        </w:rPr>
        <w:t>ictvím třídních schůzek – říjen</w:t>
      </w:r>
      <w:r w:rsidR="002454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66D0D">
        <w:rPr>
          <w:rFonts w:ascii="Times New Roman" w:hAnsi="Times New Roman" w:cs="Times New Roman"/>
          <w:b/>
          <w:sz w:val="24"/>
          <w:szCs w:val="24"/>
        </w:rPr>
        <w:t>3</w:t>
      </w:r>
    </w:p>
    <w:p w:rsidR="00C94E5E" w:rsidRPr="00E36E67" w:rsidRDefault="00C94E5E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1D0" w:rsidRPr="00E36E67" w:rsidRDefault="00E231D0" w:rsidP="005367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sz w:val="24"/>
          <w:szCs w:val="24"/>
        </w:rPr>
        <w:tab/>
      </w:r>
      <w:r w:rsidRPr="00E36E67">
        <w:rPr>
          <w:rFonts w:ascii="Times New Roman" w:hAnsi="Times New Roman" w:cs="Times New Roman"/>
          <w:b/>
          <w:sz w:val="24"/>
          <w:szCs w:val="24"/>
        </w:rPr>
        <w:t>Internetové poradny, svépomocné weby a on-line publikace pro hazardní hráče a jejich rodiny:</w:t>
      </w:r>
    </w:p>
    <w:p w:rsidR="00E231D0" w:rsidRPr="00E36E67" w:rsidRDefault="00A35DE7" w:rsidP="005367A6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8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www.gambling.podaneruce.cz</w:t>
        </w:r>
      </w:hyperlink>
    </w:p>
    <w:p w:rsidR="00E231D0" w:rsidRPr="00E36E67" w:rsidRDefault="00E231D0" w:rsidP="005367A6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E36E67">
        <w:rPr>
          <w:rStyle w:val="Hypertextovodkaz"/>
          <w:rFonts w:ascii="Times New Roman" w:hAnsi="Times New Roman" w:cs="Times New Roman"/>
          <w:sz w:val="24"/>
          <w:szCs w:val="24"/>
        </w:rPr>
        <w:t>http://www.drnespor.eu/</w:t>
      </w:r>
    </w:p>
    <w:p w:rsidR="00E231D0" w:rsidRPr="00E36E67" w:rsidRDefault="00A35DE7" w:rsidP="005367A6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9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http://stopzavislosti.cz/</w:t>
        </w:r>
      </w:hyperlink>
    </w:p>
    <w:p w:rsidR="00E231D0" w:rsidRPr="00E36E67" w:rsidRDefault="00A35DE7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http://poradna.adiktologie.cz/</w:t>
        </w:r>
      </w:hyperlink>
    </w:p>
    <w:p w:rsidR="00E231D0" w:rsidRPr="00E36E67" w:rsidRDefault="00A35DE7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http://www.poradenskecentrum.cz/</w:t>
        </w:r>
      </w:hyperlink>
    </w:p>
    <w:p w:rsidR="00E231D0" w:rsidRPr="00E36E67" w:rsidRDefault="00A35DE7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http://www.magdalena-ops.eu/index.php/o-nas-menu/ke-stazeni/publikace.html</w:t>
        </w:r>
      </w:hyperlink>
    </w:p>
    <w:p w:rsidR="00E231D0" w:rsidRPr="00E36E67" w:rsidRDefault="00A35DE7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http://www.sananim.cz/gambling-ambulance/co-nabizime.html</w:t>
        </w:r>
      </w:hyperlink>
    </w:p>
    <w:p w:rsidR="00E231D0" w:rsidRPr="00E36E67" w:rsidRDefault="00A35DE7" w:rsidP="005367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231D0" w:rsidRPr="00E36E67">
          <w:rPr>
            <w:rStyle w:val="Hypertextovodkaz"/>
            <w:rFonts w:ascii="Times New Roman" w:hAnsi="Times New Roman" w:cs="Times New Roman"/>
            <w:sz w:val="24"/>
            <w:szCs w:val="24"/>
          </w:rPr>
          <w:t>http://pnz.prevent99.cz/sluzby</w:t>
        </w:r>
      </w:hyperlink>
    </w:p>
    <w:p w:rsidR="00E231D0" w:rsidRPr="00E36E67" w:rsidRDefault="00E231D0" w:rsidP="005367A6">
      <w:pPr>
        <w:pStyle w:val="prevencezakladni"/>
        <w:spacing w:before="100" w:beforeAutospacing="1" w:after="100" w:afterAutospacing="1"/>
        <w:jc w:val="both"/>
        <w:rPr>
          <w:szCs w:val="24"/>
        </w:rPr>
      </w:pPr>
    </w:p>
    <w:p w:rsidR="00E231D0" w:rsidRPr="00E36E67" w:rsidRDefault="00E231D0" w:rsidP="005367A6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 w:rsidRPr="00E36E67">
        <w:rPr>
          <w:b/>
          <w:color w:val="0070C0"/>
          <w:szCs w:val="24"/>
        </w:rPr>
        <w:t xml:space="preserve">Hazardní hraní jako přílohu č. 2  MPP školy zpracovala: 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 w:rsidRPr="00E36E67">
        <w:rPr>
          <w:b/>
          <w:color w:val="0070C0"/>
          <w:szCs w:val="24"/>
        </w:rPr>
        <w:t xml:space="preserve"> Mgr. Kateřina Macáková a Mgr. Jitka Suchánková, 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  <w:r w:rsidRPr="00E36E67">
        <w:rPr>
          <w:b/>
          <w:color w:val="0070C0"/>
          <w:szCs w:val="24"/>
        </w:rPr>
        <w:t>školní metodici prevence</w:t>
      </w:r>
    </w:p>
    <w:p w:rsidR="00E231D0" w:rsidRPr="00E36E67" w:rsidRDefault="00E231D0" w:rsidP="005367A6">
      <w:pPr>
        <w:pStyle w:val="prevencezakladni"/>
        <w:spacing w:before="100" w:beforeAutospacing="1" w:after="100" w:afterAutospacing="1"/>
        <w:ind w:left="357"/>
        <w:jc w:val="right"/>
        <w:rPr>
          <w:b/>
          <w:color w:val="0070C0"/>
          <w:szCs w:val="24"/>
        </w:rPr>
      </w:pPr>
    </w:p>
    <w:p w:rsidR="005367A6" w:rsidRDefault="005367A6" w:rsidP="005367A6">
      <w:pPr>
        <w:jc w:val="both"/>
        <w:rPr>
          <w:rFonts w:ascii="Calibri" w:eastAsia="Calibri" w:hAnsi="Calibri" w:cs="Times New Roman"/>
        </w:rPr>
      </w:pPr>
    </w:p>
    <w:p w:rsidR="00E01200" w:rsidRPr="00E36E67" w:rsidRDefault="00E01200" w:rsidP="005367A6">
      <w:pPr>
        <w:spacing w:line="360" w:lineRule="auto"/>
        <w:rPr>
          <w:rFonts w:ascii="Times New Roman" w:hAnsi="Times New Roman" w:cs="Times New Roman"/>
        </w:rPr>
      </w:pPr>
    </w:p>
    <w:sectPr w:rsidR="00E01200" w:rsidRPr="00E36E67" w:rsidSect="00372D6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DE7" w:rsidRDefault="00A35DE7" w:rsidP="00797FE7">
      <w:pPr>
        <w:spacing w:after="0" w:line="240" w:lineRule="auto"/>
      </w:pPr>
      <w:r>
        <w:separator/>
      </w:r>
    </w:p>
  </w:endnote>
  <w:endnote w:type="continuationSeparator" w:id="0">
    <w:p w:rsidR="00A35DE7" w:rsidRDefault="00A35DE7" w:rsidP="0079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E7" w:rsidRPr="00372D65" w:rsidRDefault="00797FE7">
    <w:pPr>
      <w:pStyle w:val="Zpat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color w:val="FF9933"/>
        <w:sz w:val="20"/>
        <w:szCs w:val="20"/>
      </w:rPr>
    </w:pPr>
    <w:r w:rsidRPr="00372D65">
      <w:rPr>
        <w:rFonts w:ascii="Times New Roman" w:eastAsiaTheme="majorEastAsia" w:hAnsi="Times New Roman" w:cs="Times New Roman"/>
        <w:color w:val="FF9933"/>
        <w:sz w:val="20"/>
        <w:szCs w:val="20"/>
      </w:rPr>
      <w:t>Program – hazardní hráčství</w:t>
    </w:r>
    <w:r w:rsidRPr="00372D65">
      <w:rPr>
        <w:rFonts w:ascii="Times New Roman" w:eastAsiaTheme="majorEastAsia" w:hAnsi="Times New Roman" w:cs="Times New Roman"/>
        <w:color w:val="FF9933"/>
        <w:sz w:val="20"/>
        <w:szCs w:val="20"/>
      </w:rPr>
      <w:ptab w:relativeTo="margin" w:alignment="right" w:leader="none"/>
    </w:r>
    <w:r w:rsidRPr="00372D65">
      <w:rPr>
        <w:rFonts w:ascii="Times New Roman" w:eastAsiaTheme="majorEastAsia" w:hAnsi="Times New Roman" w:cs="Times New Roman"/>
        <w:color w:val="FF9933"/>
        <w:sz w:val="20"/>
        <w:szCs w:val="20"/>
      </w:rPr>
      <w:t xml:space="preserve">Stránka </w:t>
    </w:r>
    <w:r w:rsidR="00F020EA" w:rsidRPr="00372D65">
      <w:rPr>
        <w:rFonts w:ascii="Times New Roman" w:eastAsiaTheme="minorEastAsia" w:hAnsi="Times New Roman" w:cs="Times New Roman"/>
        <w:color w:val="FF9933"/>
        <w:sz w:val="20"/>
        <w:szCs w:val="20"/>
      </w:rPr>
      <w:fldChar w:fldCharType="begin"/>
    </w:r>
    <w:r w:rsidRPr="00372D65">
      <w:rPr>
        <w:rFonts w:ascii="Times New Roman" w:hAnsi="Times New Roman" w:cs="Times New Roman"/>
        <w:color w:val="FF9933"/>
        <w:sz w:val="20"/>
        <w:szCs w:val="20"/>
      </w:rPr>
      <w:instrText>PAGE   \* MERGEFORMAT</w:instrText>
    </w:r>
    <w:r w:rsidR="00F020EA" w:rsidRPr="00372D65">
      <w:rPr>
        <w:rFonts w:ascii="Times New Roman" w:eastAsiaTheme="minorEastAsia" w:hAnsi="Times New Roman" w:cs="Times New Roman"/>
        <w:color w:val="FF9933"/>
        <w:sz w:val="20"/>
        <w:szCs w:val="20"/>
      </w:rPr>
      <w:fldChar w:fldCharType="separate"/>
    </w:r>
    <w:r w:rsidR="00372D65" w:rsidRPr="00372D65">
      <w:rPr>
        <w:rFonts w:ascii="Times New Roman" w:eastAsiaTheme="majorEastAsia" w:hAnsi="Times New Roman" w:cs="Times New Roman"/>
        <w:noProof/>
        <w:color w:val="FF9933"/>
        <w:sz w:val="20"/>
        <w:szCs w:val="20"/>
      </w:rPr>
      <w:t>7</w:t>
    </w:r>
    <w:r w:rsidR="00F020EA" w:rsidRPr="00372D65">
      <w:rPr>
        <w:rFonts w:ascii="Times New Roman" w:eastAsiaTheme="majorEastAsia" w:hAnsi="Times New Roman" w:cs="Times New Roman"/>
        <w:color w:val="FF9933"/>
        <w:sz w:val="20"/>
        <w:szCs w:val="20"/>
      </w:rPr>
      <w:fldChar w:fldCharType="end"/>
    </w:r>
  </w:p>
  <w:p w:rsidR="00797FE7" w:rsidRPr="00372D65" w:rsidRDefault="00797FE7">
    <w:pPr>
      <w:pStyle w:val="Zpat"/>
      <w:rPr>
        <w:rFonts w:ascii="Times New Roman" w:hAnsi="Times New Roman" w:cs="Times New Roman"/>
        <w:color w:val="FF99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DE7" w:rsidRDefault="00A35DE7" w:rsidP="00797FE7">
      <w:pPr>
        <w:spacing w:after="0" w:line="240" w:lineRule="auto"/>
      </w:pPr>
      <w:r>
        <w:separator/>
      </w:r>
    </w:p>
  </w:footnote>
  <w:footnote w:type="continuationSeparator" w:id="0">
    <w:p w:rsidR="00A35DE7" w:rsidRDefault="00A35DE7" w:rsidP="0079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FE7" w:rsidRDefault="00737380">
    <w:pPr>
      <w:pStyle w:val="Zhlav"/>
    </w:pPr>
    <w:r>
      <w:rPr>
        <w:noProof/>
      </w:rPr>
      <w:drawing>
        <wp:inline distT="0" distB="0" distL="0" distR="0">
          <wp:extent cx="5760720" cy="13474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195"/>
    <w:multiLevelType w:val="hybridMultilevel"/>
    <w:tmpl w:val="856A9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1BE8"/>
    <w:multiLevelType w:val="hybridMultilevel"/>
    <w:tmpl w:val="D2F0C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D79"/>
    <w:multiLevelType w:val="hybridMultilevel"/>
    <w:tmpl w:val="007E1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047"/>
    <w:multiLevelType w:val="hybridMultilevel"/>
    <w:tmpl w:val="21A88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45791"/>
    <w:multiLevelType w:val="hybridMultilevel"/>
    <w:tmpl w:val="28F82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B7257"/>
    <w:multiLevelType w:val="hybridMultilevel"/>
    <w:tmpl w:val="EB360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84A5F"/>
    <w:multiLevelType w:val="hybridMultilevel"/>
    <w:tmpl w:val="E5521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C3350"/>
    <w:multiLevelType w:val="hybridMultilevel"/>
    <w:tmpl w:val="70004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1D0"/>
    <w:rsid w:val="00025052"/>
    <w:rsid w:val="000D41B3"/>
    <w:rsid w:val="00102603"/>
    <w:rsid w:val="00166D0D"/>
    <w:rsid w:val="001D3BAC"/>
    <w:rsid w:val="001E6902"/>
    <w:rsid w:val="00245464"/>
    <w:rsid w:val="0026524E"/>
    <w:rsid w:val="003157BB"/>
    <w:rsid w:val="00364341"/>
    <w:rsid w:val="00372D65"/>
    <w:rsid w:val="00412235"/>
    <w:rsid w:val="004607B0"/>
    <w:rsid w:val="005367A6"/>
    <w:rsid w:val="00613A60"/>
    <w:rsid w:val="0071143D"/>
    <w:rsid w:val="00737380"/>
    <w:rsid w:val="00797FE7"/>
    <w:rsid w:val="007E55DC"/>
    <w:rsid w:val="008E4D67"/>
    <w:rsid w:val="00995754"/>
    <w:rsid w:val="00A35DE7"/>
    <w:rsid w:val="00A40B1C"/>
    <w:rsid w:val="00AA4FDA"/>
    <w:rsid w:val="00AF22FB"/>
    <w:rsid w:val="00B222A5"/>
    <w:rsid w:val="00B33A82"/>
    <w:rsid w:val="00BB367C"/>
    <w:rsid w:val="00BC2812"/>
    <w:rsid w:val="00C53294"/>
    <w:rsid w:val="00C65BEF"/>
    <w:rsid w:val="00C94E5E"/>
    <w:rsid w:val="00CA66E0"/>
    <w:rsid w:val="00E01200"/>
    <w:rsid w:val="00E231D0"/>
    <w:rsid w:val="00E36E67"/>
    <w:rsid w:val="00E610AE"/>
    <w:rsid w:val="00F020EA"/>
    <w:rsid w:val="00F23AFC"/>
    <w:rsid w:val="00F7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7222AE-01AD-4956-B3EF-2797CF01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3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31D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31D0"/>
    <w:pPr>
      <w:ind w:left="720"/>
      <w:contextualSpacing/>
    </w:pPr>
    <w:rPr>
      <w:rFonts w:eastAsiaTheme="minorEastAsia"/>
      <w:lang w:eastAsia="cs-CZ"/>
    </w:rPr>
  </w:style>
  <w:style w:type="character" w:customStyle="1" w:styleId="prevencezakladniChar">
    <w:name w:val="prevence_zakladni Char"/>
    <w:link w:val="prevencezakladni"/>
    <w:locked/>
    <w:rsid w:val="00E231D0"/>
    <w:rPr>
      <w:rFonts w:ascii="Times New Roman" w:eastAsia="Times New Roman" w:hAnsi="Times New Roman" w:cs="Times New Roman"/>
      <w:sz w:val="24"/>
      <w:szCs w:val="20"/>
    </w:rPr>
  </w:style>
  <w:style w:type="paragraph" w:customStyle="1" w:styleId="prevencezakladni">
    <w:name w:val="prevence_zakladni"/>
    <w:link w:val="prevencezakladniChar"/>
    <w:rsid w:val="00E231D0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vencenadpis1">
    <w:name w:val="prevence_nadpis_1"/>
    <w:rsid w:val="00E231D0"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revencenadpis2">
    <w:name w:val="prevence_nadpis_2"/>
    <w:rsid w:val="00C94E5E"/>
    <w:pPr>
      <w:keepNext/>
      <w:keepLines/>
      <w:spacing w:before="240" w:after="24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FE7"/>
  </w:style>
  <w:style w:type="paragraph" w:styleId="Zpat">
    <w:name w:val="footer"/>
    <w:basedOn w:val="Normln"/>
    <w:link w:val="ZpatChar"/>
    <w:uiPriority w:val="99"/>
    <w:unhideWhenUsed/>
    <w:rsid w:val="0079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FE7"/>
  </w:style>
  <w:style w:type="paragraph" w:styleId="Textbubliny">
    <w:name w:val="Balloon Text"/>
    <w:basedOn w:val="Normln"/>
    <w:link w:val="TextbublinyChar"/>
    <w:uiPriority w:val="99"/>
    <w:semiHidden/>
    <w:unhideWhenUsed/>
    <w:rsid w:val="0079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bling.podaneruce.cz" TargetMode="External"/><Relationship Id="rId13" Type="http://schemas.openxmlformats.org/officeDocument/2006/relationships/hyperlink" Target="http://www.sananim.cz/gambling-ambulance/co-nabizim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gdalena-ops.eu/index.php/o-nas-menu/ke-stazeni/publikac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adenskecentrum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oradna.adiktologi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pzavislosti.cz/" TargetMode="External"/><Relationship Id="rId14" Type="http://schemas.openxmlformats.org/officeDocument/2006/relationships/hyperlink" Target="http://pnz.prevent99.cz/sluz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A1A6-7BB4-417C-ACD6-277F4309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1354</Words>
  <Characters>8494</Characters>
  <Application>Microsoft Office Word</Application>
  <DocSecurity>0</DocSecurity>
  <Lines>173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Kateřina Macáková</cp:lastModifiedBy>
  <cp:revision>23</cp:revision>
  <cp:lastPrinted>2017-01-23T12:39:00Z</cp:lastPrinted>
  <dcterms:created xsi:type="dcterms:W3CDTF">2017-01-23T12:16:00Z</dcterms:created>
  <dcterms:modified xsi:type="dcterms:W3CDTF">2024-08-13T15:05:00Z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a68f04e50559fc5664a51e1fc7cdae54d3fb65f8965271fdfa017f7e0b7c375a</vt:lpwstr>
  </property>
</Properties>
</file>